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5DB" w:rsidRDefault="003C15DB" w:rsidP="003C15DB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</w:rPr>
      </w:pPr>
      <w:r w:rsidRPr="003C15DB">
        <w:rPr>
          <w:rFonts w:cs="Calibri,Bold"/>
          <w:b/>
          <w:bCs/>
        </w:rPr>
        <w:t>METHODOLOGY</w:t>
      </w:r>
      <w:bookmarkStart w:id="0" w:name="_GoBack"/>
      <w:bookmarkEnd w:id="0"/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</w:rPr>
      </w:pPr>
    </w:p>
    <w:p w:rsidR="003C15DB" w:rsidRDefault="003C15DB" w:rsidP="003C15D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3C15DB">
        <w:rPr>
          <w:rFonts w:cs="Calibri"/>
        </w:rPr>
        <w:t>for evaluation of proposals in public procurement procedure wit</w:t>
      </w:r>
      <w:r>
        <w:rPr>
          <w:rFonts w:cs="Calibri"/>
        </w:rPr>
        <w:t xml:space="preserve">h announcement using electronic </w:t>
      </w:r>
      <w:r w:rsidRPr="003C15DB">
        <w:rPr>
          <w:rFonts w:cs="Calibri"/>
        </w:rPr>
        <w:t>tender, with</w:t>
      </w:r>
      <w:r>
        <w:rPr>
          <w:rFonts w:cs="Calibri"/>
          <w:lang w:val="en-US"/>
        </w:rPr>
        <w:t xml:space="preserve"> </w:t>
      </w:r>
      <w:r w:rsidRPr="003C15DB">
        <w:rPr>
          <w:rFonts w:cs="Calibri"/>
        </w:rPr>
        <w:t xml:space="preserve">subject: </w:t>
      </w:r>
      <w:r w:rsidRPr="003C15DB">
        <w:rPr>
          <w:rFonts w:cs="Calibri,Bold"/>
          <w:b/>
          <w:bCs/>
        </w:rPr>
        <w:t xml:space="preserve">Delivery of steel balls for Drum ball mills in FGD under technical specification, </w:t>
      </w:r>
      <w:r w:rsidRPr="003C15DB">
        <w:rPr>
          <w:rFonts w:cs="Calibri"/>
        </w:rPr>
        <w:t>ref. No 21-123-16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  <w:r w:rsidRPr="003C15DB">
        <w:rPr>
          <w:rFonts w:cs="Calibri,Bold"/>
          <w:b/>
          <w:bCs/>
        </w:rPr>
        <w:t>І.OBJECTIVE</w:t>
      </w:r>
    </w:p>
    <w:p w:rsid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The objective of this document is to determine the order of opening, verification and evaluation of offers for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participation in announced public procurement procedure.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  <w:r w:rsidRPr="003C15DB">
        <w:rPr>
          <w:rFonts w:cs="Calibri,Bold"/>
          <w:b/>
          <w:bCs/>
        </w:rPr>
        <w:t>ІІ. COMMITTEE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The committee that shall lead the public procurement procedure is appointed with a Decision of the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Contracting Authority, after expiration of proposals submission deadline.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The committee consists of odd number of members, at least five, as one of them must be licensed lawyer and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the rest are individuals with necessary professional qualification and practical experience in correspondence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with complexity of the procedure.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The Contracting Authority may nominate outside experts as committee members or consultants.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Person who:</w:t>
      </w:r>
    </w:p>
    <w:p w:rsidR="003C15DB" w:rsidRDefault="003C15DB" w:rsidP="00A1743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has material interest in execution of the public procurement procedure by certain candidate or</w:t>
      </w:r>
      <w:r>
        <w:rPr>
          <w:rFonts w:cs="Calibri"/>
          <w:lang w:val="en-US"/>
        </w:rPr>
        <w:t xml:space="preserve">  </w:t>
      </w:r>
      <w:r w:rsidRPr="003C15DB">
        <w:rPr>
          <w:rFonts w:cs="Calibri"/>
        </w:rPr>
        <w:t>participant</w:t>
      </w:r>
    </w:p>
    <w:p w:rsidR="003C15DB" w:rsidRPr="003C15DB" w:rsidRDefault="003C15DB" w:rsidP="003C15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is related with a candidate or participant in the procedure or with its subcontractors, or with members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of their managing and control body</w:t>
      </w:r>
    </w:p>
    <w:p w:rsidR="003C15DB" w:rsidRPr="003C15DB" w:rsidRDefault="003C15DB" w:rsidP="003943B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has private interest under the meaning of the Conflict of Interests Prevention and Disclosure Act inassignment of the public procurement procedure,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can not be a committee member or consultant.</w:t>
      </w:r>
    </w:p>
    <w:p w:rsid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Committee members or consultants are obliged to keep in secret the circumstances known by them during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their work in the committee.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Committee members or consultants present to the Contracting Authority a sample declaration as per article 35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paragraph 1 from the Public Procurement Act, at their appointment.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 xml:space="preserve">The public procurement procedures with announcement have two phases: </w:t>
      </w:r>
      <w:r w:rsidRPr="003C15DB">
        <w:rPr>
          <w:rFonts w:cs="Calibri,Bold"/>
          <w:b/>
          <w:bCs/>
        </w:rPr>
        <w:t xml:space="preserve">phase one </w:t>
      </w:r>
      <w:r w:rsidRPr="003C15DB">
        <w:rPr>
          <w:rFonts w:cs="Calibri"/>
        </w:rPr>
        <w:t>- for preliminary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selection of candidates on the basis of submitted documents regularity and compliance with Contracting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 xml:space="preserve">Authority’s requirements, stated in tender documentation, and </w:t>
      </w:r>
      <w:r w:rsidRPr="003C15DB">
        <w:rPr>
          <w:rFonts w:cs="Calibri,Bold"/>
          <w:b/>
          <w:bCs/>
        </w:rPr>
        <w:t xml:space="preserve">phase two </w:t>
      </w:r>
      <w:r w:rsidRPr="003C15DB">
        <w:rPr>
          <w:rFonts w:cs="Calibri"/>
        </w:rPr>
        <w:t>- for negotiation with eligible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participants.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  <w:r w:rsidRPr="003C15DB">
        <w:rPr>
          <w:rFonts w:cs="Calibri,Bold"/>
          <w:b/>
          <w:bCs/>
        </w:rPr>
        <w:t>PHASE ONE: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  <w:r w:rsidRPr="003C15DB">
        <w:rPr>
          <w:rFonts w:cs="Calibri,Bold"/>
          <w:b/>
          <w:bCs/>
        </w:rPr>
        <w:t>III. Technical proposals. Selection of candidates.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In technical quotation participants present all documents required with the invitation for participation,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evidencing the conformity with technical demands in specification, together with filled acceptance form for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participation in electronic tender.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The appointed by the Contracting Authority committee opens all technical offers on the date and hour set out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in invitation for participation, verifies the submitted documents regularity and compliance with Contracting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Authority’s requirements, stated in tender documentation by preparing a protocol with results from technical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offers review. The committee opens price offers of those participants, whose technical offers being approved,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in order to accomplish a preliminary evaluation under “best price” criterion.</w:t>
      </w:r>
    </w:p>
    <w:p w:rsidR="00B56BF9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The committee prepares Protocol 1 with results from offers preliminary evaluation. The reasons for candidates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elimination from the public procurement procedure and committee’s judgement in this respect should be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stated in the protocol.</w:t>
      </w:r>
    </w:p>
    <w:p w:rsid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  <w:r w:rsidRPr="003C15DB">
        <w:rPr>
          <w:rFonts w:cs="Calibri,Bold"/>
          <w:b/>
          <w:bCs/>
        </w:rPr>
        <w:t>PHASE TWO: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  <w:r w:rsidRPr="003C15DB">
        <w:rPr>
          <w:rFonts w:cs="Calibri,Bold"/>
          <w:b/>
          <w:bCs/>
        </w:rPr>
        <w:t>ІV. Invitation for negotiation and electronic tender order.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 xml:space="preserve">After preliminary evaluation of offers Contracting Authority </w:t>
      </w:r>
      <w:r w:rsidRPr="003C15DB">
        <w:rPr>
          <w:rFonts w:cs="Calibri,Bold"/>
          <w:b/>
          <w:bCs/>
        </w:rPr>
        <w:t>forwards to all approved candidates an invitation</w:t>
      </w:r>
      <w:r w:rsidRPr="003C15DB">
        <w:rPr>
          <w:rFonts w:cs="Calibri,Bold"/>
          <w:b/>
          <w:bCs/>
          <w:lang w:val="en-US"/>
        </w:rPr>
        <w:t xml:space="preserve"> </w:t>
      </w:r>
      <w:r w:rsidRPr="003C15DB">
        <w:rPr>
          <w:rFonts w:cs="Calibri,Bold"/>
          <w:b/>
          <w:bCs/>
        </w:rPr>
        <w:t xml:space="preserve">for participation in electronic tender, </w:t>
      </w:r>
      <w:r w:rsidRPr="003C15DB">
        <w:rPr>
          <w:rFonts w:cs="Calibri"/>
        </w:rPr>
        <w:t>defining the rules and order for connection to the electronic system/iTender manager/, username and password of the participant, date and time for beginning of electronic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tender, the method of electronic tender closing. The invitation requires a submission of electronic offer as well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as suggests to participants to present new lower prices.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Each electronic tender starts at the time stated in the invitation. The best offer is nominated under “bestprice” criterion.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The electronic tender may be governed in consecutive stages: first mandatory stage is “Sealed RFQ” and each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subsequent /optional/ stage is “Open RFQ – with timeout” or “Reverse Auction”. After closing of each stage,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within an hour, Participants shall receive a notification via email whether a next stage “Reverse Auction” will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be conducted as well the date and hour of its start. Participants should confirm in writing their participation in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the next stage.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The electronic tender ends when all stages are closed.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In case of submission of a bid that being anomalous/invalid or offer which numerical value is more than 20%favorable against the average price of the rest participants, the committee may request price justification to all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the constituent elements of the bid in question, then if no objective reasons provided as per art. 70, para 2 of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the Public Procurement Act, rejects such bid or suggests to Contracting Authority a cancellation of the tender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under provisions of art. 39 of the Public Procurement Act. In such cases participants in electronic tender have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no right to claim a technical mistake issue. All mistakes made by participants reflect, only and exclusively, on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their legal effect and may not justify any claim for compensation or indemnification of any kind against it as a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result, addressed to Contracting Authority.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  <w:r w:rsidRPr="003C15DB">
        <w:rPr>
          <w:rFonts w:cs="Calibri,Bold"/>
          <w:b/>
          <w:bCs/>
        </w:rPr>
        <w:t>V. Candidates ranking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,Bold"/>
          <w:b/>
          <w:bCs/>
        </w:rPr>
      </w:pP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After conduction of electronic tender the committee prepares Protocol 2 where registering committee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members, list of participants, results from evaluation and participant’s ranking.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The Contracting Authority nominates for Contractor of the public procurement procedure the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participant ranked first on the grounds of art. 73 anf art. 74 of the Public Procurement Act.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C15DB">
        <w:rPr>
          <w:rFonts w:cs="Calibri"/>
        </w:rPr>
        <w:t>At contract signing the participant nominated for Contractor presents a well performance bank</w:t>
      </w:r>
    </w:p>
    <w:p w:rsidR="003C15DB" w:rsidRPr="003C15DB" w:rsidRDefault="003C15DB" w:rsidP="003C15DB">
      <w:pPr>
        <w:autoSpaceDE w:val="0"/>
        <w:autoSpaceDN w:val="0"/>
        <w:adjustRightInd w:val="0"/>
        <w:spacing w:after="0" w:line="240" w:lineRule="auto"/>
        <w:jc w:val="both"/>
      </w:pPr>
      <w:r w:rsidRPr="003C15DB">
        <w:rPr>
          <w:rFonts w:cs="Calibri"/>
        </w:rPr>
        <w:t>guarantee at the amount of 3 % of the total contract price as well as all other documents in agreement with</w:t>
      </w:r>
      <w:r w:rsidRPr="003C15DB">
        <w:rPr>
          <w:rFonts w:cs="Calibri"/>
          <w:lang w:val="en-US"/>
        </w:rPr>
        <w:t xml:space="preserve"> </w:t>
      </w:r>
      <w:r w:rsidRPr="003C15DB">
        <w:rPr>
          <w:rFonts w:cs="Calibri"/>
        </w:rPr>
        <w:t>the requirements of art. 42 of the Public Procurement Act.</w:t>
      </w:r>
    </w:p>
    <w:sectPr w:rsidR="003C15DB" w:rsidRPr="003C15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52A" w:rsidRDefault="0092552A" w:rsidP="003C15DB">
      <w:pPr>
        <w:spacing w:after="0" w:line="240" w:lineRule="auto"/>
      </w:pPr>
      <w:r>
        <w:separator/>
      </w:r>
    </w:p>
  </w:endnote>
  <w:endnote w:type="continuationSeparator" w:id="0">
    <w:p w:rsidR="0092552A" w:rsidRDefault="0092552A" w:rsidP="003C1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,Bold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5DB" w:rsidRPr="00907DBA" w:rsidRDefault="003C15DB" w:rsidP="003C15DB">
    <w:pPr>
      <w:pStyle w:val="Footer"/>
      <w:jc w:val="center"/>
      <w:rPr>
        <w:rFonts w:cstheme="minorHAnsi"/>
        <w:color w:val="004A8F"/>
      </w:rPr>
    </w:pPr>
    <w:r>
      <w:rPr>
        <w:rFonts w:cstheme="minorHAnsi"/>
        <w:noProof/>
        <w:color w:val="004A8F"/>
        <w:lang w:eastAsia="bg-BG"/>
      </w:rPr>
      <w:drawing>
        <wp:anchor distT="0" distB="0" distL="114300" distR="114300" simplePos="0" relativeHeight="251659264" behindDoc="0" locked="0" layoutInCell="1" allowOverlap="1" wp14:anchorId="54ECBFB8" wp14:editId="1983DC33">
          <wp:simplePos x="0" y="0"/>
          <wp:positionH relativeFrom="column">
            <wp:posOffset>-271145</wp:posOffset>
          </wp:positionH>
          <wp:positionV relativeFrom="paragraph">
            <wp:posOffset>210185</wp:posOffset>
          </wp:positionV>
          <wp:extent cx="495300" cy="609600"/>
          <wp:effectExtent l="19050" t="0" r="0" b="0"/>
          <wp:wrapNone/>
          <wp:docPr id="9" name="Picture 5" descr="F:\Contour Global\World Day For Safety And Health\UNGC Logo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:\Contour Global\World Day For Safety And Health\UNGC Logo-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C15DB" w:rsidRPr="001D3C20" w:rsidRDefault="003C15DB" w:rsidP="003C15DB">
    <w:pPr>
      <w:jc w:val="center"/>
      <w:rPr>
        <w:rFonts w:cstheme="minorHAnsi"/>
        <w:color w:val="004A8F"/>
        <w:sz w:val="20"/>
        <w:lang w:val="it-IT"/>
      </w:rPr>
    </w:pPr>
    <w:r>
      <w:rPr>
        <w:rFonts w:cstheme="minorHAnsi"/>
        <w:noProof/>
        <w:color w:val="004A8F"/>
        <w:sz w:val="20"/>
        <w:lang w:eastAsia="bg-BG"/>
      </w:rPr>
      <w:drawing>
        <wp:anchor distT="0" distB="0" distL="114300" distR="114300" simplePos="0" relativeHeight="251660288" behindDoc="1" locked="0" layoutInCell="1" allowOverlap="1" wp14:anchorId="72A348A5" wp14:editId="7D26E403">
          <wp:simplePos x="0" y="0"/>
          <wp:positionH relativeFrom="column">
            <wp:posOffset>5329555</wp:posOffset>
          </wp:positionH>
          <wp:positionV relativeFrom="paragraph">
            <wp:posOffset>97155</wp:posOffset>
          </wp:positionV>
          <wp:extent cx="1200150" cy="50482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65B48">
      <w:rPr>
        <w:rFonts w:cstheme="minorHAnsi"/>
        <w:color w:val="004A8F"/>
        <w:sz w:val="20"/>
      </w:rPr>
      <w:t>Serdika Offices</w:t>
    </w:r>
    <w:r>
      <w:rPr>
        <w:rFonts w:cstheme="minorHAnsi"/>
        <w:color w:val="004A8F"/>
        <w:sz w:val="20"/>
      </w:rPr>
      <w:t xml:space="preserve"> I</w:t>
    </w:r>
    <w:r w:rsidRPr="00565B48">
      <w:rPr>
        <w:rFonts w:cstheme="minorHAnsi"/>
        <w:color w:val="004A8F"/>
        <w:sz w:val="20"/>
      </w:rPr>
      <w:t xml:space="preserve"> 48 Sitnyakovo Blvd, 9 fl.</w:t>
    </w:r>
    <w:r>
      <w:rPr>
        <w:rFonts w:cstheme="minorHAnsi"/>
        <w:color w:val="004A8F"/>
        <w:sz w:val="20"/>
      </w:rPr>
      <w:t xml:space="preserve"> </w:t>
    </w:r>
    <w:r w:rsidRPr="001D3C20">
      <w:rPr>
        <w:rFonts w:cstheme="minorHAnsi"/>
        <w:color w:val="004A8F"/>
        <w:sz w:val="20"/>
        <w:lang w:val="it-IT"/>
      </w:rPr>
      <w:t>I 1505 Sofia, Bulgaria</w:t>
    </w:r>
  </w:p>
  <w:p w:rsidR="003C15DB" w:rsidRPr="001D3C20" w:rsidRDefault="003C15DB" w:rsidP="003C15DB">
    <w:pPr>
      <w:pStyle w:val="Footer"/>
      <w:jc w:val="center"/>
      <w:rPr>
        <w:rFonts w:cstheme="minorHAnsi"/>
        <w:color w:val="004A8F"/>
        <w:sz w:val="20"/>
        <w:lang w:val="it-IT"/>
      </w:rPr>
    </w:pPr>
    <w:r w:rsidRPr="001D3C20">
      <w:rPr>
        <w:rFonts w:cstheme="minorHAnsi"/>
        <w:color w:val="004A8F"/>
        <w:sz w:val="20"/>
        <w:lang w:val="it-IT"/>
      </w:rPr>
      <w:t xml:space="preserve">phone: +359 2 810 2323 I fax: +359 2 810 2345 I </w:t>
    </w:r>
    <w:hyperlink r:id="rId3" w:history="1">
      <w:r w:rsidRPr="001D3C20">
        <w:rPr>
          <w:rStyle w:val="Hyperlink"/>
          <w:rFonts w:cstheme="minorHAnsi"/>
          <w:color w:val="365F91"/>
          <w:sz w:val="20"/>
          <w:lang w:val="it-IT"/>
        </w:rPr>
        <w:t>me3@contourglobal.com</w:t>
      </w:r>
    </w:hyperlink>
  </w:p>
  <w:p w:rsidR="003C15DB" w:rsidRPr="001D3C20" w:rsidRDefault="003C15DB" w:rsidP="003C15DB">
    <w:pPr>
      <w:pStyle w:val="Footer"/>
      <w:rPr>
        <w:lang w:val="it-IT"/>
      </w:rPr>
    </w:pPr>
  </w:p>
  <w:p w:rsidR="003C15DB" w:rsidRDefault="003C15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52A" w:rsidRDefault="0092552A" w:rsidP="003C15DB">
      <w:pPr>
        <w:spacing w:after="0" w:line="240" w:lineRule="auto"/>
      </w:pPr>
      <w:r>
        <w:separator/>
      </w:r>
    </w:p>
  </w:footnote>
  <w:footnote w:type="continuationSeparator" w:id="0">
    <w:p w:rsidR="0092552A" w:rsidRDefault="0092552A" w:rsidP="003C1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5DB" w:rsidRDefault="003C15DB">
    <w:pPr>
      <w:pStyle w:val="Header"/>
    </w:pPr>
    <w:r w:rsidRPr="007145F3">
      <w:rPr>
        <w:noProof/>
        <w:lang w:eastAsia="bg-BG"/>
      </w:rPr>
      <w:drawing>
        <wp:inline distT="0" distB="0" distL="0" distR="0" wp14:anchorId="70DC2971" wp14:editId="492EC112">
          <wp:extent cx="4095750" cy="638175"/>
          <wp:effectExtent l="19050" t="0" r="0" b="0"/>
          <wp:docPr id="1" name="Picture 1" descr="LogoME3-EN-le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ME3-EN-le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03E9A"/>
    <w:multiLevelType w:val="hybridMultilevel"/>
    <w:tmpl w:val="897A860A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5DB"/>
    <w:rsid w:val="003C15DB"/>
    <w:rsid w:val="0092552A"/>
    <w:rsid w:val="00B5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0579C-91FF-4A9C-879E-380ACE09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5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1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5DB"/>
  </w:style>
  <w:style w:type="paragraph" w:styleId="Footer">
    <w:name w:val="footer"/>
    <w:basedOn w:val="Normal"/>
    <w:link w:val="FooterChar"/>
    <w:unhideWhenUsed/>
    <w:rsid w:val="003C1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5DB"/>
  </w:style>
  <w:style w:type="character" w:styleId="Hyperlink">
    <w:name w:val="Hyperlink"/>
    <w:basedOn w:val="DefaultParagraphFont"/>
    <w:uiPriority w:val="99"/>
    <w:unhideWhenUsed/>
    <w:rsid w:val="003C15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e3@contourglobal.com" TargetMode="External"/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Tonchev</dc:creator>
  <cp:keywords/>
  <dc:description/>
  <cp:lastModifiedBy>Emil Tonchev</cp:lastModifiedBy>
  <cp:revision>1</cp:revision>
  <dcterms:created xsi:type="dcterms:W3CDTF">2016-02-01T14:46:00Z</dcterms:created>
  <dcterms:modified xsi:type="dcterms:W3CDTF">2016-02-01T14:55:00Z</dcterms:modified>
</cp:coreProperties>
</file>